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766" w:tblpY="1350"/>
        <w:tblOverlap w:val="never"/>
        <w:tblW w:w="15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
        <w:gridCol w:w="1404"/>
        <w:gridCol w:w="5805"/>
        <w:gridCol w:w="1308"/>
        <w:gridCol w:w="2160"/>
        <w:gridCol w:w="1668"/>
        <w:gridCol w:w="2127"/>
      </w:tblGrid>
      <w:tr w14:paraId="4AB59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2902308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编号</w:t>
            </w:r>
          </w:p>
        </w:tc>
        <w:tc>
          <w:tcPr>
            <w:tcW w:w="140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18BC654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物质名称</w:t>
            </w:r>
          </w:p>
        </w:tc>
        <w:tc>
          <w:tcPr>
            <w:tcW w:w="58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506FF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规格型号</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EF0FD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E18F7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送到价（元/吨）</w:t>
            </w:r>
          </w:p>
        </w:tc>
        <w:tc>
          <w:tcPr>
            <w:tcW w:w="1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B478D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金额（元）</w:t>
            </w:r>
          </w:p>
        </w:tc>
        <w:tc>
          <w:tcPr>
            <w:tcW w:w="21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E80F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报价期限</w:t>
            </w:r>
          </w:p>
        </w:tc>
      </w:tr>
      <w:tr w14:paraId="1528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7E3C9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4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B8E79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烟煤</w:t>
            </w:r>
          </w:p>
        </w:tc>
        <w:tc>
          <w:tcPr>
            <w:tcW w:w="5805" w:type="dxa"/>
            <w:tcBorders>
              <w:top w:val="single" w:color="auto" w:sz="6" w:space="0"/>
              <w:left w:val="single" w:color="auto" w:sz="4" w:space="0"/>
              <w:bottom w:val="single" w:color="auto" w:sz="6" w:space="0"/>
              <w:right w:val="single" w:color="auto" w:sz="6" w:space="0"/>
              <w:tl2br w:val="nil"/>
              <w:tr2bl w:val="nil"/>
            </w:tcBorders>
            <w:noWrap w:val="0"/>
            <w:vAlign w:val="center"/>
          </w:tcPr>
          <w:p w14:paraId="55830161">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粒度10-30</w:t>
            </w:r>
            <w:r>
              <w:rPr>
                <w:rFonts w:hint="eastAsia" w:ascii="仿宋" w:hAnsi="仿宋" w:eastAsia="仿宋" w:cs="仿宋"/>
                <w:bCs/>
                <w:sz w:val="24"/>
                <w:szCs w:val="24"/>
                <w:lang w:val="en-US" w:eastAsia="zh-CN"/>
              </w:rPr>
              <w:t>mm过筛，&lt;10mm不超过单车粒度的5%，&gt;30mm的不超过单车粒度的0.5%;</w:t>
            </w:r>
            <w:r>
              <w:rPr>
                <w:rFonts w:hint="eastAsia" w:ascii="仿宋" w:hAnsi="仿宋" w:eastAsia="仿宋" w:cs="仿宋"/>
                <w:color w:val="000000" w:themeColor="text1"/>
                <w:sz w:val="24"/>
                <w:szCs w:val="24"/>
                <w:lang w:val="en-US" w:eastAsia="zh-CN"/>
                <w14:textFill>
                  <w14:solidFill>
                    <w14:schemeClr w14:val="tx1"/>
                  </w14:solidFill>
                </w14:textFill>
              </w:rPr>
              <w:t>固定碳&gt;55%、灰分&lt;10%、挥发份&gt;24%、水份&lt;8%、S&lt;1.0%</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EEF0A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600</w:t>
            </w:r>
            <w:r>
              <w:rPr>
                <w:rFonts w:hint="eastAsia" w:ascii="仿宋" w:hAnsi="仿宋" w:eastAsia="仿宋" w:cs="仿宋"/>
                <w:color w:val="000000"/>
                <w:sz w:val="24"/>
                <w:szCs w:val="24"/>
              </w:rPr>
              <w:t>吨</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F6811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4"/>
                <w:szCs w:val="24"/>
              </w:rPr>
            </w:pPr>
          </w:p>
        </w:tc>
        <w:tc>
          <w:tcPr>
            <w:tcW w:w="1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C3511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4"/>
                <w:szCs w:val="24"/>
              </w:rPr>
            </w:pPr>
          </w:p>
        </w:tc>
        <w:tc>
          <w:tcPr>
            <w:tcW w:w="21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FC992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4"/>
                <w:szCs w:val="24"/>
              </w:rPr>
            </w:pPr>
          </w:p>
        </w:tc>
      </w:tr>
    </w:tbl>
    <w:p w14:paraId="7AA71087">
      <w:pPr>
        <w:keepNext w:val="0"/>
        <w:keepLines w:val="0"/>
        <w:pageBreakBefore w:val="0"/>
        <w:widowControl w:val="0"/>
        <w:kinsoku/>
        <w:wordWrap/>
        <w:overflowPunct/>
        <w:topLinePunct w:val="0"/>
        <w:autoSpaceDE/>
        <w:autoSpaceDN/>
        <w:bidi w:val="0"/>
        <w:adjustRightInd/>
        <w:snapToGrid/>
        <w:spacing w:line="360" w:lineRule="exact"/>
        <w:ind w:firstLine="6626" w:firstLineChars="2200"/>
        <w:textAlignment w:val="auto"/>
        <w:rPr>
          <w:rFonts w:hint="eastAsia" w:ascii="仿宋" w:hAnsi="仿宋" w:eastAsia="仿宋" w:cs="仿宋"/>
          <w:sz w:val="28"/>
          <w:szCs w:val="28"/>
          <w:lang w:val="en-US" w:eastAsia="zh-CN"/>
        </w:rPr>
      </w:pPr>
      <w:r>
        <w:rPr>
          <w:rFonts w:hint="eastAsia" w:ascii="仿宋" w:hAnsi="仿宋" w:eastAsia="仿宋" w:cs="仿宋"/>
          <w:b/>
          <w:color w:val="000000"/>
          <w:sz w:val="30"/>
          <w:szCs w:val="30"/>
        </w:rPr>
        <w:t>陕西锌业有限公司</w:t>
      </w:r>
      <w:r>
        <w:rPr>
          <w:rFonts w:hint="eastAsia" w:ascii="仿宋" w:hAnsi="仿宋" w:eastAsia="仿宋" w:cs="仿宋"/>
          <w:b/>
          <w:color w:val="000000"/>
          <w:sz w:val="30"/>
          <w:szCs w:val="30"/>
          <w:lang w:val="en-US" w:eastAsia="zh-CN"/>
        </w:rPr>
        <w:t>烟煤</w:t>
      </w:r>
      <w:r>
        <w:rPr>
          <w:rFonts w:hint="eastAsia" w:ascii="仿宋" w:hAnsi="仿宋" w:eastAsia="仿宋" w:cs="仿宋"/>
          <w:b/>
          <w:color w:val="000000"/>
          <w:sz w:val="30"/>
          <w:szCs w:val="30"/>
        </w:rPr>
        <w:t>报价单</w:t>
      </w:r>
    </w:p>
    <w:p w14:paraId="69D42119">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报价单填写说明：竞价方在报价栏填报单价以及合计金额（或报价单价合计金额）。填好的报价单由公司法定代表人或授权委托人签名并加盖公司公章。</w:t>
      </w:r>
      <w:bookmarkStart w:id="0" w:name="_GoBack"/>
      <w:bookmarkEnd w:id="0"/>
    </w:p>
    <w:p w14:paraId="72D29868">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保证金的交付说明：</w:t>
      </w:r>
    </w:p>
    <w:p w14:paraId="6DE5772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（1）若竞价方在竞购方账户中存有该项目的竞价保证金，不再另行支付保证金，竞价方只须</w:t>
      </w:r>
      <w:r>
        <w:rPr>
          <w:rStyle w:val="4"/>
          <w:rFonts w:hint="eastAsia" w:ascii="仿宋" w:hAnsi="仿宋" w:eastAsia="仿宋" w:cs="仿宋"/>
          <w:sz w:val="28"/>
          <w:szCs w:val="28"/>
          <w:lang w:val="en-US" w:eastAsia="zh-CN" w:bidi="ar"/>
        </w:rPr>
        <w:t>出具委托函，委托竞购方将其存在竞购方保证金账户中的金额转为此次竞价保证金，</w:t>
      </w:r>
      <w:r>
        <w:rPr>
          <w:rStyle w:val="5"/>
          <w:rFonts w:hint="eastAsia" w:ascii="仿宋" w:hAnsi="仿宋" w:eastAsia="仿宋" w:cs="仿宋"/>
          <w:sz w:val="28"/>
          <w:szCs w:val="28"/>
          <w:lang w:val="en-US" w:eastAsia="zh-CN" w:bidi="ar"/>
        </w:rPr>
        <w:t>否则竞价报价单无效</w:t>
      </w:r>
      <w:r>
        <w:rPr>
          <w:rStyle w:val="6"/>
          <w:rFonts w:hint="eastAsia" w:ascii="仿宋" w:hAnsi="仿宋" w:eastAsia="仿宋" w:cs="仿宋"/>
          <w:sz w:val="28"/>
          <w:szCs w:val="28"/>
          <w:u w:val="single"/>
          <w:lang w:val="en-US" w:eastAsia="zh-CN" w:bidi="ar"/>
        </w:rPr>
        <w:t>。</w:t>
      </w:r>
    </w:p>
    <w:p w14:paraId="63684FA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若竞价方在竞购方账户中没有该项目的竞价保证金，须支付该项目的竞价保证金。若如竞价单位在竞购方尚有货款的，可出具委托函，委托竞购方将其货款中的部分金额转为此次竞价保证金。若竞购方所欠竞价方货款资金不足以冲抵此项目的竞价保证金时，竞价方须另</w:t>
      </w:r>
      <w:r>
        <w:rPr>
          <w:rStyle w:val="4"/>
          <w:rFonts w:hint="eastAsia" w:ascii="仿宋" w:hAnsi="仿宋" w:eastAsia="仿宋" w:cs="仿宋"/>
          <w:sz w:val="28"/>
          <w:szCs w:val="28"/>
          <w:lang w:val="en-US" w:eastAsia="zh-CN" w:bidi="ar"/>
        </w:rPr>
        <w:t>行足额缴纳保证金，</w:t>
      </w:r>
      <w:r>
        <w:rPr>
          <w:rStyle w:val="5"/>
          <w:rFonts w:hint="eastAsia" w:ascii="仿宋" w:hAnsi="仿宋" w:eastAsia="仿宋" w:cs="仿宋"/>
          <w:sz w:val="28"/>
          <w:szCs w:val="28"/>
          <w:lang w:val="en-US" w:eastAsia="zh-CN" w:bidi="ar"/>
        </w:rPr>
        <w:t>否则竞价报价单无效</w:t>
      </w:r>
      <w:r>
        <w:rPr>
          <w:rStyle w:val="7"/>
          <w:rFonts w:hint="eastAsia" w:ascii="仿宋" w:hAnsi="仿宋" w:eastAsia="仿宋" w:cs="仿宋"/>
          <w:sz w:val="28"/>
          <w:szCs w:val="28"/>
          <w:lang w:val="en-US" w:eastAsia="zh-CN" w:bidi="ar"/>
        </w:rPr>
        <w:t>。</w:t>
      </w:r>
    </w:p>
    <w:p w14:paraId="60E44CBE">
      <w:pPr>
        <w:keepNext w:val="0"/>
        <w:keepLines w:val="0"/>
        <w:pageBreakBefore w:val="0"/>
        <w:widowControl w:val="0"/>
        <w:kinsoku/>
        <w:wordWrap/>
        <w:overflowPunct/>
        <w:topLinePunct w:val="0"/>
        <w:autoSpaceDE/>
        <w:autoSpaceDN/>
        <w:bidi w:val="0"/>
        <w:adjustRightInd/>
        <w:snapToGrid/>
        <w:spacing w:line="460" w:lineRule="exact"/>
        <w:ind w:firstLine="3654" w:firstLineChars="1300"/>
        <w:textAlignment w:val="auto"/>
        <w:rPr>
          <w:rFonts w:hint="eastAsia" w:ascii="仿宋" w:hAnsi="仿宋" w:eastAsia="仿宋" w:cs="仿宋"/>
          <w:b/>
          <w:bCs/>
          <w:i w:val="0"/>
          <w:iCs w:val="0"/>
          <w:color w:val="000000"/>
          <w:kern w:val="0"/>
          <w:sz w:val="28"/>
          <w:szCs w:val="28"/>
          <w:u w:val="none"/>
          <w:lang w:val="en-US" w:eastAsia="zh-CN" w:bidi="ar"/>
        </w:rPr>
      </w:pPr>
    </w:p>
    <w:p w14:paraId="171E77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i w:val="0"/>
          <w:iCs w:val="0"/>
          <w:color w:val="000000"/>
          <w:kern w:val="0"/>
          <w:sz w:val="28"/>
          <w:szCs w:val="28"/>
          <w:u w:val="none"/>
          <w:lang w:val="en-US" w:eastAsia="zh-CN" w:bidi="ar"/>
        </w:rPr>
      </w:pPr>
    </w:p>
    <w:p w14:paraId="6B31E243">
      <w:pPr>
        <w:keepNext w:val="0"/>
        <w:keepLines w:val="0"/>
        <w:pageBreakBefore w:val="0"/>
        <w:widowControl w:val="0"/>
        <w:kinsoku/>
        <w:wordWrap/>
        <w:overflowPunct/>
        <w:topLinePunct w:val="0"/>
        <w:autoSpaceDE/>
        <w:autoSpaceDN/>
        <w:bidi w:val="0"/>
        <w:adjustRightInd/>
        <w:snapToGrid/>
        <w:spacing w:line="360" w:lineRule="exact"/>
        <w:ind w:firstLine="3654" w:firstLineChars="1300"/>
        <w:textAlignment w:val="auto"/>
        <w:rPr>
          <w:rFonts w:hint="eastAsia" w:ascii="仿宋" w:hAnsi="仿宋" w:eastAsia="仿宋" w:cs="仿宋"/>
          <w:b/>
          <w:bCs/>
          <w:i w:val="0"/>
          <w:iCs w:val="0"/>
          <w:color w:val="000000"/>
          <w:kern w:val="0"/>
          <w:sz w:val="28"/>
          <w:szCs w:val="28"/>
          <w:u w:val="none"/>
          <w:lang w:val="en-US" w:eastAsia="zh-CN" w:bidi="ar"/>
        </w:rPr>
      </w:pPr>
    </w:p>
    <w:p w14:paraId="3DC8AA5B">
      <w:pPr>
        <w:keepNext w:val="0"/>
        <w:keepLines w:val="0"/>
        <w:pageBreakBefore w:val="0"/>
        <w:widowControl w:val="0"/>
        <w:kinsoku/>
        <w:wordWrap/>
        <w:overflowPunct/>
        <w:topLinePunct w:val="0"/>
        <w:autoSpaceDE/>
        <w:autoSpaceDN/>
        <w:bidi w:val="0"/>
        <w:adjustRightInd/>
        <w:snapToGrid/>
        <w:spacing w:line="360" w:lineRule="exact"/>
        <w:ind w:firstLine="6325" w:firstLineChars="2100"/>
        <w:textAlignment w:val="auto"/>
        <w:rPr>
          <w:rFonts w:hint="eastAsia" w:ascii="仿宋" w:hAnsi="仿宋" w:eastAsia="仿宋" w:cs="仿宋"/>
          <w:b/>
          <w:bCs/>
          <w:i w:val="0"/>
          <w:iCs w:val="0"/>
          <w:color w:val="000000"/>
          <w:kern w:val="0"/>
          <w:sz w:val="30"/>
          <w:szCs w:val="30"/>
          <w:u w:val="none"/>
          <w:lang w:val="en-US" w:eastAsia="zh-CN" w:bidi="ar"/>
        </w:rPr>
      </w:pPr>
      <w:r>
        <w:rPr>
          <w:rFonts w:hint="eastAsia" w:ascii="仿宋" w:hAnsi="仿宋" w:eastAsia="仿宋" w:cs="仿宋"/>
          <w:b/>
          <w:bCs/>
          <w:i w:val="0"/>
          <w:iCs w:val="0"/>
          <w:color w:val="000000"/>
          <w:kern w:val="0"/>
          <w:sz w:val="30"/>
          <w:szCs w:val="30"/>
          <w:u w:val="none"/>
          <w:lang w:val="en-US" w:eastAsia="zh-CN" w:bidi="ar"/>
        </w:rPr>
        <w:t>委    托   书</w:t>
      </w:r>
    </w:p>
    <w:p w14:paraId="4DD327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陕西锌业有限公司：</w:t>
      </w:r>
    </w:p>
    <w:p w14:paraId="109EDD7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Style w:val="8"/>
          <w:rFonts w:hint="eastAsia" w:ascii="仿宋" w:hAnsi="仿宋" w:eastAsia="仿宋" w:cs="仿宋"/>
          <w:sz w:val="28"/>
          <w:szCs w:val="28"/>
          <w:lang w:val="en-US" w:eastAsia="zh-CN" w:bidi="ar"/>
        </w:rPr>
      </w:pPr>
      <w:r>
        <w:rPr>
          <w:rStyle w:val="8"/>
          <w:rFonts w:hint="eastAsia" w:ascii="仿宋" w:hAnsi="仿宋" w:eastAsia="仿宋" w:cs="仿宋"/>
          <w:sz w:val="28"/>
          <w:szCs w:val="28"/>
          <w:lang w:val="en-US" w:eastAsia="zh-CN" w:bidi="ar"/>
        </w:rPr>
        <w:t>兹有我公司参与贵公司于</w:t>
      </w:r>
      <w:r>
        <w:rPr>
          <w:rStyle w:val="9"/>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年</w:t>
      </w:r>
      <w:r>
        <w:rPr>
          <w:rStyle w:val="9"/>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月</w:t>
      </w:r>
      <w:r>
        <w:rPr>
          <w:rStyle w:val="9"/>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日发布的</w:t>
      </w:r>
      <w:r>
        <w:rPr>
          <w:rStyle w:val="8"/>
          <w:rFonts w:hint="eastAsia" w:ascii="仿宋" w:hAnsi="仿宋" w:eastAsia="仿宋" w:cs="仿宋"/>
          <w:sz w:val="28"/>
          <w:szCs w:val="28"/>
          <w:u w:val="single"/>
          <w:lang w:val="en-US" w:eastAsia="zh-CN" w:bidi="ar"/>
        </w:rPr>
        <w:t xml:space="preserve">       </w:t>
      </w:r>
      <w:r>
        <w:rPr>
          <w:rStyle w:val="8"/>
          <w:rFonts w:hint="eastAsia" w:ascii="仿宋" w:hAnsi="仿宋" w:eastAsia="仿宋" w:cs="仿宋"/>
          <w:sz w:val="28"/>
          <w:szCs w:val="28"/>
          <w:lang w:val="en-US" w:eastAsia="zh-CN" w:bidi="ar"/>
        </w:rPr>
        <w:t>竞价项目，委托贵公司将（□尚欠我公司货款□前期在贵公司保证金账户中存有保证金）¥</w:t>
      </w:r>
      <w:r>
        <w:rPr>
          <w:rStyle w:val="8"/>
          <w:rFonts w:hint="eastAsia" w:ascii="仿宋" w:hAnsi="仿宋" w:eastAsia="仿宋" w:cs="仿宋"/>
          <w:sz w:val="28"/>
          <w:szCs w:val="28"/>
          <w:u w:val="single"/>
          <w:lang w:val="en-US" w:eastAsia="zh-CN" w:bidi="ar"/>
        </w:rPr>
        <w:t xml:space="preserve">             </w:t>
      </w:r>
      <w:r>
        <w:rPr>
          <w:rStyle w:val="8"/>
          <w:rFonts w:hint="eastAsia" w:ascii="仿宋" w:hAnsi="仿宋" w:eastAsia="仿宋" w:cs="仿宋"/>
          <w:sz w:val="28"/>
          <w:szCs w:val="28"/>
          <w:lang w:val="en-US" w:eastAsia="zh-CN" w:bidi="ar"/>
        </w:rPr>
        <w:t>元大写</w:t>
      </w:r>
      <w:r>
        <w:rPr>
          <w:rStyle w:val="8"/>
          <w:rFonts w:hint="eastAsia" w:ascii="仿宋" w:hAnsi="仿宋" w:eastAsia="仿宋" w:cs="仿宋"/>
          <w:sz w:val="28"/>
          <w:szCs w:val="28"/>
          <w:u w:val="single"/>
          <w:lang w:val="en-US" w:eastAsia="zh-CN" w:bidi="ar"/>
        </w:rPr>
        <w:t xml:space="preserve">                        </w:t>
      </w:r>
      <w:r>
        <w:rPr>
          <w:rStyle w:val="8"/>
          <w:rFonts w:hint="eastAsia" w:ascii="仿宋" w:hAnsi="仿宋" w:eastAsia="仿宋" w:cs="仿宋"/>
          <w:sz w:val="28"/>
          <w:szCs w:val="28"/>
          <w:lang w:val="en-US" w:eastAsia="zh-CN" w:bidi="ar"/>
        </w:rPr>
        <w:t>转为此竞价保证金。</w:t>
      </w:r>
    </w:p>
    <w:p w14:paraId="2B70F78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特此委托</w:t>
      </w:r>
    </w:p>
    <w:p w14:paraId="29617CF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                     </w:t>
      </w:r>
    </w:p>
    <w:p w14:paraId="7C4F07A9">
      <w:pPr>
        <w:keepNext w:val="0"/>
        <w:keepLines w:val="0"/>
        <w:pageBreakBefore w:val="0"/>
        <w:widowControl w:val="0"/>
        <w:kinsoku/>
        <w:wordWrap/>
        <w:overflowPunct/>
        <w:topLinePunct w:val="0"/>
        <w:autoSpaceDE/>
        <w:autoSpaceDN/>
        <w:bidi w:val="0"/>
        <w:adjustRightInd/>
        <w:snapToGrid/>
        <w:spacing w:line="360" w:lineRule="exact"/>
        <w:ind w:firstLine="8120" w:firstLineChars="29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参与竞价方（盖章）：</w:t>
      </w:r>
    </w:p>
    <w:p w14:paraId="7E9C543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                                                      法人（委托人）签字：</w:t>
      </w:r>
    </w:p>
    <w:p w14:paraId="41AB2D01">
      <w:pPr>
        <w:rPr>
          <w:rFonts w:hint="eastAsia" w:ascii="仿宋" w:hAnsi="仿宋" w:eastAsia="仿宋" w:cs="仿宋"/>
        </w:rPr>
      </w:pPr>
      <w:r>
        <w:rPr>
          <w:rFonts w:hint="eastAsia" w:ascii="仿宋" w:hAnsi="仿宋" w:eastAsia="仿宋" w:cs="仿宋"/>
          <w:i w:val="0"/>
          <w:iCs w:val="0"/>
          <w:color w:val="000000"/>
          <w:kern w:val="0"/>
          <w:sz w:val="28"/>
          <w:szCs w:val="28"/>
          <w:u w:val="none"/>
          <w:lang w:val="en-US" w:eastAsia="zh-CN" w:bidi="ar"/>
        </w:rPr>
        <w:t xml:space="preserve">                                                         </w:t>
      </w:r>
      <w:r>
        <w:rPr>
          <w:rStyle w:val="8"/>
          <w:rFonts w:hint="eastAsia" w:ascii="仿宋" w:hAnsi="仿宋" w:eastAsia="仿宋" w:cs="仿宋"/>
          <w:sz w:val="28"/>
          <w:szCs w:val="28"/>
          <w:lang w:val="en-US" w:eastAsia="zh-CN" w:bidi="ar"/>
        </w:rPr>
        <w:t xml:space="preserve"> 参与竞价时间：    年    月    日</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74E90"/>
    <w:multiLevelType w:val="singleLevel"/>
    <w:tmpl w:val="C0D74E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083A10AE"/>
    <w:rsid w:val="083A10AE"/>
    <w:rsid w:val="1927419F"/>
    <w:rsid w:val="21B7125C"/>
    <w:rsid w:val="41525766"/>
    <w:rsid w:val="60332959"/>
    <w:rsid w:val="6F714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autoRedefine/>
    <w:qFormat/>
    <w:uiPriority w:val="0"/>
    <w:rPr>
      <w:rFonts w:hint="eastAsia" w:ascii="宋体" w:hAnsi="宋体" w:eastAsia="宋体" w:cs="宋体"/>
      <w:color w:val="000000"/>
      <w:sz w:val="24"/>
      <w:szCs w:val="24"/>
      <w:u w:val="none"/>
    </w:rPr>
  </w:style>
  <w:style w:type="character" w:customStyle="1" w:styleId="5">
    <w:name w:val="font41"/>
    <w:basedOn w:val="3"/>
    <w:autoRedefine/>
    <w:qFormat/>
    <w:uiPriority w:val="0"/>
    <w:rPr>
      <w:rFonts w:hint="eastAsia" w:ascii="宋体" w:hAnsi="宋体" w:eastAsia="宋体" w:cs="宋体"/>
      <w:b/>
      <w:bCs/>
      <w:color w:val="000000"/>
      <w:sz w:val="28"/>
      <w:szCs w:val="28"/>
      <w:u w:val="single"/>
    </w:rPr>
  </w:style>
  <w:style w:type="character" w:customStyle="1" w:styleId="6">
    <w:name w:val="font61"/>
    <w:basedOn w:val="3"/>
    <w:autoRedefine/>
    <w:qFormat/>
    <w:uiPriority w:val="0"/>
    <w:rPr>
      <w:rFonts w:hint="eastAsia" w:ascii="宋体" w:hAnsi="宋体" w:eastAsia="宋体" w:cs="宋体"/>
      <w:color w:val="000000"/>
      <w:sz w:val="28"/>
      <w:szCs w:val="28"/>
      <w:u w:val="none"/>
    </w:rPr>
  </w:style>
  <w:style w:type="character" w:customStyle="1" w:styleId="7">
    <w:name w:val="font101"/>
    <w:basedOn w:val="3"/>
    <w:autoRedefine/>
    <w:qFormat/>
    <w:uiPriority w:val="0"/>
    <w:rPr>
      <w:rFonts w:hint="eastAsia" w:ascii="宋体" w:hAnsi="宋体" w:eastAsia="宋体" w:cs="宋体"/>
      <w:color w:val="000000"/>
      <w:sz w:val="32"/>
      <w:szCs w:val="32"/>
      <w:u w:val="none"/>
    </w:rPr>
  </w:style>
  <w:style w:type="character" w:customStyle="1" w:styleId="8">
    <w:name w:val="font01"/>
    <w:basedOn w:val="3"/>
    <w:autoRedefine/>
    <w:qFormat/>
    <w:uiPriority w:val="0"/>
    <w:rPr>
      <w:rFonts w:hint="eastAsia" w:ascii="宋体" w:hAnsi="宋体" w:eastAsia="宋体" w:cs="宋体"/>
      <w:color w:val="000000"/>
      <w:sz w:val="24"/>
      <w:szCs w:val="24"/>
      <w:u w:val="none"/>
    </w:rPr>
  </w:style>
  <w:style w:type="character" w:customStyle="1" w:styleId="9">
    <w:name w:val="font112"/>
    <w:basedOn w:val="3"/>
    <w:autoRedefine/>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513</Words>
  <Characters>550</Characters>
  <Lines>0</Lines>
  <Paragraphs>0</Paragraphs>
  <TotalTime>9</TotalTime>
  <ScaleCrop>false</ScaleCrop>
  <LinksUpToDate>false</LinksUpToDate>
  <CharactersWithSpaces>756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2024-02-18T02:27:00Z</dcterms:created>
  <dc:creator>瞬间无语</dc:creator>
  <cp:lastModifiedBy>瞬间无语</cp:lastModifiedBy>
  <cp:lastPrinted>2024-12-09T06:50:00Z</cp:lastPrinted>
  <dcterms:modified xsi:type="dcterms:W3CDTF">2024-12-10T06:26:21Z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ABAAC74927EA41E6B241B078233C7B05_11</vt:lpwstr>
  </property>
</Properties>
</file>