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EC0BF">
      <w:pPr>
        <w:keepNext w:val="0"/>
        <w:keepLines w:val="0"/>
        <w:pageBreakBefore w:val="0"/>
        <w:widowControl w:val="0"/>
        <w:kinsoku/>
        <w:wordWrap/>
        <w:overflowPunct/>
        <w:topLinePunct w:val="0"/>
        <w:autoSpaceDE/>
        <w:autoSpaceDN/>
        <w:bidi w:val="0"/>
        <w:adjustRightInd/>
        <w:snapToGrid/>
        <w:spacing w:line="360" w:lineRule="exact"/>
        <w:ind w:firstLine="6465" w:firstLineChars="23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焦沫</w:t>
      </w:r>
      <w:r>
        <w:rPr>
          <w:rFonts w:hint="eastAsia" w:ascii="宋体" w:hAnsi="宋体" w:eastAsia="宋体" w:cs="宋体"/>
          <w:b/>
          <w:color w:val="000000"/>
          <w:sz w:val="28"/>
          <w:szCs w:val="28"/>
        </w:rPr>
        <w:t>报价单</w:t>
      </w:r>
    </w:p>
    <w:tbl>
      <w:tblPr>
        <w:tblStyle w:val="2"/>
        <w:tblpPr w:leftFromText="180" w:rightFromText="180" w:vertAnchor="page" w:horzAnchor="page" w:tblpX="1435" w:tblpY="1824"/>
        <w:tblOverlap w:val="never"/>
        <w:tblW w:w="14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1307"/>
        <w:gridCol w:w="7023"/>
        <w:gridCol w:w="1063"/>
        <w:gridCol w:w="1217"/>
        <w:gridCol w:w="1360"/>
        <w:gridCol w:w="1596"/>
      </w:tblGrid>
      <w:tr w14:paraId="581F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13"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72BDA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1307"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F70F1D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物质名称</w:t>
            </w:r>
          </w:p>
        </w:tc>
        <w:tc>
          <w:tcPr>
            <w:tcW w:w="70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8C357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0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BF93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数量</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干量吨</w:t>
            </w:r>
            <w:r>
              <w:rPr>
                <w:rFonts w:hint="eastAsia" w:ascii="宋体" w:hAnsi="宋体" w:cs="宋体"/>
                <w:color w:val="000000"/>
                <w:sz w:val="24"/>
                <w:szCs w:val="24"/>
                <w:lang w:eastAsia="zh-CN"/>
              </w:rPr>
              <w:t>）</w:t>
            </w:r>
          </w:p>
        </w:tc>
        <w:tc>
          <w:tcPr>
            <w:tcW w:w="12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DDDF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送到价</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（元/吨）</w:t>
            </w:r>
          </w:p>
        </w:tc>
        <w:tc>
          <w:tcPr>
            <w:tcW w:w="13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EC500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金额（元）</w:t>
            </w:r>
          </w:p>
        </w:tc>
        <w:tc>
          <w:tcPr>
            <w:tcW w:w="15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BED5A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有效</w:t>
            </w:r>
            <w:r>
              <w:rPr>
                <w:rFonts w:hint="eastAsia" w:ascii="宋体" w:hAnsi="宋体" w:eastAsia="宋体" w:cs="宋体"/>
                <w:color w:val="000000"/>
                <w:sz w:val="24"/>
                <w:szCs w:val="24"/>
                <w:lang w:val="en-US" w:eastAsia="zh-CN"/>
              </w:rPr>
              <w:t>报价</w:t>
            </w:r>
            <w:r>
              <w:rPr>
                <w:rFonts w:hint="eastAsia" w:ascii="宋体" w:hAnsi="宋体" w:cs="宋体"/>
                <w:color w:val="000000"/>
                <w:sz w:val="24"/>
                <w:szCs w:val="24"/>
                <w:lang w:val="en-US" w:eastAsia="zh-CN"/>
              </w:rPr>
              <w:t>送货</w:t>
            </w:r>
            <w:r>
              <w:rPr>
                <w:rFonts w:hint="eastAsia" w:ascii="宋体" w:hAnsi="宋体" w:eastAsia="宋体" w:cs="宋体"/>
                <w:color w:val="000000"/>
                <w:sz w:val="24"/>
                <w:szCs w:val="24"/>
                <w:lang w:val="en-US" w:eastAsia="zh-CN"/>
              </w:rPr>
              <w:t>期限</w:t>
            </w:r>
          </w:p>
        </w:tc>
      </w:tr>
      <w:tr w14:paraId="5AA9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C413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385EF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一工区用</w:t>
            </w:r>
            <w:r>
              <w:rPr>
                <w:rFonts w:hint="eastAsia" w:ascii="宋体" w:hAnsi="宋体" w:eastAsia="宋体" w:cs="宋体"/>
                <w:color w:val="000000"/>
                <w:sz w:val="24"/>
                <w:szCs w:val="24"/>
                <w:lang w:val="en-US" w:eastAsia="zh-CN"/>
              </w:rPr>
              <w:t>焦沫</w:t>
            </w:r>
          </w:p>
        </w:tc>
        <w:tc>
          <w:tcPr>
            <w:tcW w:w="7023" w:type="dxa"/>
            <w:tcBorders>
              <w:top w:val="single" w:color="auto" w:sz="6" w:space="0"/>
              <w:left w:val="single" w:color="auto" w:sz="4" w:space="0"/>
              <w:bottom w:val="single" w:color="auto" w:sz="6" w:space="0"/>
              <w:right w:val="single" w:color="auto" w:sz="6" w:space="0"/>
              <w:tl2br w:val="nil"/>
              <w:tr2bl w:val="nil"/>
            </w:tcBorders>
            <w:noWrap w:val="0"/>
            <w:vAlign w:val="center"/>
          </w:tcPr>
          <w:p w14:paraId="768050F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80</w:t>
            </w:r>
            <w:r>
              <w:rPr>
                <w:rFonts w:hint="eastAsia" w:ascii="宋体" w:hAnsi="宋体" w:eastAsia="宋体" w:cs="宋体"/>
                <w:sz w:val="21"/>
                <w:szCs w:val="21"/>
              </w:rPr>
              <w:t>.0%，挥发份≤</w:t>
            </w:r>
            <w:r>
              <w:rPr>
                <w:rFonts w:hint="eastAsia" w:ascii="宋体" w:hAnsi="宋体" w:eastAsia="宋体" w:cs="宋体"/>
                <w:sz w:val="21"/>
                <w:szCs w:val="21"/>
                <w:lang w:val="en-US" w:eastAsia="zh-CN"/>
              </w:rPr>
              <w:t>4</w:t>
            </w:r>
            <w:r>
              <w:rPr>
                <w:rFonts w:hint="eastAsia" w:ascii="宋体" w:hAnsi="宋体" w:eastAsia="宋体" w:cs="宋体"/>
                <w:sz w:val="21"/>
                <w:szCs w:val="21"/>
              </w:rPr>
              <w:t>.0%，灰分≤15.0%，S≤</w:t>
            </w:r>
            <w:r>
              <w:rPr>
                <w:rFonts w:hint="eastAsia" w:ascii="宋体" w:hAnsi="宋体" w:eastAsia="宋体" w:cs="宋体"/>
                <w:sz w:val="21"/>
                <w:szCs w:val="21"/>
                <w:lang w:val="en-US" w:eastAsia="zh-CN"/>
              </w:rPr>
              <w:t>0.8</w:t>
            </w:r>
            <w:r>
              <w:rPr>
                <w:rFonts w:hint="eastAsia" w:ascii="宋体" w:hAnsi="宋体" w:eastAsia="宋体" w:cs="宋体"/>
                <w:sz w:val="21"/>
                <w:szCs w:val="21"/>
              </w:rPr>
              <w:t>%,水分≤</w:t>
            </w:r>
            <w:r>
              <w:rPr>
                <w:rFonts w:hint="eastAsia" w:ascii="宋体" w:hAnsi="宋体" w:eastAsia="宋体" w:cs="宋体"/>
                <w:sz w:val="21"/>
                <w:szCs w:val="21"/>
                <w:lang w:val="en-US" w:eastAsia="zh-CN"/>
              </w:rPr>
              <w:t>15</w:t>
            </w:r>
            <w:r>
              <w:rPr>
                <w:rFonts w:hint="eastAsia" w:ascii="宋体" w:hAnsi="宋体" w:eastAsia="宋体" w:cs="宋体"/>
                <w:sz w:val="21"/>
                <w:szCs w:val="21"/>
              </w:rPr>
              <w:t>%，粒度符合5-10mm＞50%,粒度大于15mm以上不超过</w:t>
            </w:r>
            <w:r>
              <w:rPr>
                <w:rFonts w:hint="eastAsia" w:ascii="宋体" w:hAnsi="宋体" w:eastAsia="宋体" w:cs="宋体"/>
                <w:sz w:val="21"/>
                <w:szCs w:val="21"/>
                <w:lang w:val="en-US" w:eastAsia="zh-CN"/>
              </w:rPr>
              <w:t>1</w:t>
            </w:r>
            <w:r>
              <w:rPr>
                <w:rFonts w:hint="eastAsia" w:ascii="宋体" w:hAnsi="宋体" w:eastAsia="宋体" w:cs="宋体"/>
                <w:sz w:val="21"/>
                <w:szCs w:val="21"/>
              </w:rPr>
              <w:t>0%，粒度小于5mm不超过</w:t>
            </w:r>
            <w:r>
              <w:rPr>
                <w:rFonts w:hint="eastAsia" w:ascii="宋体" w:hAnsi="宋体" w:eastAsia="宋体" w:cs="宋体"/>
                <w:sz w:val="21"/>
                <w:szCs w:val="21"/>
                <w:lang w:val="en-US" w:eastAsia="zh-CN"/>
              </w:rPr>
              <w:t>4</w:t>
            </w:r>
            <w:r>
              <w:rPr>
                <w:rFonts w:hint="eastAsia" w:ascii="宋体" w:hAnsi="宋体" w:eastAsia="宋体" w:cs="宋体"/>
                <w:sz w:val="21"/>
                <w:szCs w:val="21"/>
              </w:rPr>
              <w:t>0%，</w:t>
            </w:r>
          </w:p>
        </w:tc>
        <w:tc>
          <w:tcPr>
            <w:tcW w:w="10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9D690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6000</w:t>
            </w:r>
          </w:p>
        </w:tc>
        <w:tc>
          <w:tcPr>
            <w:tcW w:w="12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5974D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3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4C1C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96" w:type="dxa"/>
            <w:vMerge w:val="restart"/>
            <w:tcBorders>
              <w:top w:val="single" w:color="auto" w:sz="6" w:space="0"/>
              <w:left w:val="single" w:color="auto" w:sz="6" w:space="0"/>
              <w:right w:val="single" w:color="auto" w:sz="6" w:space="0"/>
              <w:tl2br w:val="nil"/>
              <w:tr2bl w:val="nil"/>
            </w:tcBorders>
            <w:noWrap w:val="0"/>
            <w:vAlign w:val="center"/>
          </w:tcPr>
          <w:p w14:paraId="522C4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合同签订日起至2025年元月31日止</w:t>
            </w:r>
          </w:p>
        </w:tc>
      </w:tr>
      <w:tr w14:paraId="66B7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F28E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3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F459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二工区用</w:t>
            </w:r>
            <w:r>
              <w:rPr>
                <w:rFonts w:hint="eastAsia" w:ascii="宋体" w:hAnsi="宋体" w:eastAsia="宋体" w:cs="宋体"/>
                <w:color w:val="000000"/>
                <w:sz w:val="24"/>
                <w:szCs w:val="24"/>
                <w:lang w:val="en-US" w:eastAsia="zh-CN"/>
              </w:rPr>
              <w:t>焦沫</w:t>
            </w:r>
          </w:p>
        </w:tc>
        <w:tc>
          <w:tcPr>
            <w:tcW w:w="7023" w:type="dxa"/>
            <w:tcBorders>
              <w:top w:val="single" w:color="auto" w:sz="6" w:space="0"/>
              <w:left w:val="single" w:color="auto" w:sz="4" w:space="0"/>
              <w:bottom w:val="single" w:color="auto" w:sz="6" w:space="0"/>
              <w:right w:val="single" w:color="auto" w:sz="6" w:space="0"/>
              <w:tl2br w:val="nil"/>
              <w:tr2bl w:val="nil"/>
            </w:tcBorders>
            <w:noWrap w:val="0"/>
            <w:vAlign w:val="center"/>
          </w:tcPr>
          <w:p w14:paraId="1E43444C">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80</w:t>
            </w:r>
            <w:r>
              <w:rPr>
                <w:rFonts w:hint="eastAsia" w:ascii="宋体" w:hAnsi="宋体" w:eastAsia="宋体" w:cs="宋体"/>
                <w:sz w:val="21"/>
                <w:szCs w:val="21"/>
              </w:rPr>
              <w:t>.0%，挥发份≤</w:t>
            </w:r>
            <w:r>
              <w:rPr>
                <w:rFonts w:hint="eastAsia" w:ascii="宋体" w:hAnsi="宋体" w:eastAsia="宋体" w:cs="宋体"/>
                <w:sz w:val="21"/>
                <w:szCs w:val="21"/>
                <w:lang w:val="en-US" w:eastAsia="zh-CN"/>
              </w:rPr>
              <w:t>4</w:t>
            </w:r>
            <w:r>
              <w:rPr>
                <w:rFonts w:hint="eastAsia" w:ascii="宋体" w:hAnsi="宋体" w:eastAsia="宋体" w:cs="宋体"/>
                <w:sz w:val="21"/>
                <w:szCs w:val="21"/>
              </w:rPr>
              <w:t>.0%，灰分≤15.0%，S≤</w:t>
            </w:r>
            <w:r>
              <w:rPr>
                <w:rFonts w:hint="eastAsia" w:ascii="宋体" w:hAnsi="宋体" w:eastAsia="宋体" w:cs="宋体"/>
                <w:sz w:val="21"/>
                <w:szCs w:val="21"/>
                <w:lang w:val="en-US" w:eastAsia="zh-CN"/>
              </w:rPr>
              <w:t>0.8</w:t>
            </w:r>
            <w:r>
              <w:rPr>
                <w:rFonts w:hint="eastAsia" w:ascii="宋体" w:hAnsi="宋体" w:eastAsia="宋体" w:cs="宋体"/>
                <w:sz w:val="21"/>
                <w:szCs w:val="21"/>
              </w:rPr>
              <w:t>%,水分≤</w:t>
            </w:r>
            <w:r>
              <w:rPr>
                <w:rFonts w:hint="eastAsia" w:ascii="宋体" w:hAnsi="宋体" w:eastAsia="宋体" w:cs="宋体"/>
                <w:sz w:val="21"/>
                <w:szCs w:val="21"/>
                <w:lang w:val="en-US" w:eastAsia="zh-CN"/>
              </w:rPr>
              <w:t>15</w:t>
            </w:r>
            <w:r>
              <w:rPr>
                <w:rFonts w:hint="eastAsia" w:ascii="宋体" w:hAnsi="宋体" w:eastAsia="宋体" w:cs="宋体"/>
                <w:sz w:val="21"/>
                <w:szCs w:val="21"/>
              </w:rPr>
              <w:t>%，粒度符合5-10mm≥</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rPr>
              <w:t>15mm≤</w:t>
            </w:r>
            <w:r>
              <w:rPr>
                <w:rFonts w:hint="eastAsia" w:ascii="宋体" w:hAnsi="宋体" w:eastAsia="宋体" w:cs="宋体"/>
                <w:sz w:val="21"/>
                <w:szCs w:val="21"/>
                <w:lang w:val="en-US" w:eastAsia="zh-CN"/>
              </w:rPr>
              <w:t>5</w:t>
            </w:r>
            <w:r>
              <w:rPr>
                <w:rFonts w:hint="eastAsia" w:ascii="宋体" w:hAnsi="宋体" w:eastAsia="宋体" w:cs="宋体"/>
                <w:sz w:val="21"/>
                <w:szCs w:val="21"/>
              </w:rPr>
              <w:t>%，5mm≤</w:t>
            </w:r>
            <w:r>
              <w:rPr>
                <w:rFonts w:hint="eastAsia" w:ascii="宋体" w:hAnsi="宋体" w:eastAsia="宋体" w:cs="宋体"/>
                <w:sz w:val="21"/>
                <w:szCs w:val="21"/>
                <w:lang w:val="en-US" w:eastAsia="zh-CN"/>
              </w:rPr>
              <w:t>65</w:t>
            </w:r>
            <w:r>
              <w:rPr>
                <w:rFonts w:hint="eastAsia" w:ascii="宋体" w:hAnsi="宋体" w:eastAsia="宋体" w:cs="宋体"/>
                <w:sz w:val="21"/>
                <w:szCs w:val="21"/>
              </w:rPr>
              <w:t>%</w:t>
            </w:r>
          </w:p>
        </w:tc>
        <w:tc>
          <w:tcPr>
            <w:tcW w:w="10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CFA08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4000</w:t>
            </w:r>
          </w:p>
        </w:tc>
        <w:tc>
          <w:tcPr>
            <w:tcW w:w="12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04A55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3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A4E2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96" w:type="dxa"/>
            <w:vMerge w:val="continue"/>
            <w:tcBorders>
              <w:left w:val="single" w:color="auto" w:sz="6" w:space="0"/>
              <w:right w:val="single" w:color="auto" w:sz="6" w:space="0"/>
              <w:tl2br w:val="nil"/>
              <w:tr2bl w:val="nil"/>
            </w:tcBorders>
            <w:noWrap w:val="0"/>
            <w:vAlign w:val="center"/>
          </w:tcPr>
          <w:p w14:paraId="560C022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14:paraId="282F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C6A9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合计</w:t>
            </w:r>
          </w:p>
        </w:tc>
        <w:tc>
          <w:tcPr>
            <w:tcW w:w="8330" w:type="dxa"/>
            <w:gridSpan w:val="2"/>
            <w:tcBorders>
              <w:top w:val="single" w:color="auto" w:sz="4" w:space="0"/>
              <w:left w:val="single" w:color="auto" w:sz="4" w:space="0"/>
              <w:bottom w:val="single" w:color="auto" w:sz="4" w:space="0"/>
              <w:right w:val="single" w:color="auto" w:sz="6" w:space="0"/>
              <w:tl2br w:val="nil"/>
              <w:tr2bl w:val="nil"/>
            </w:tcBorders>
            <w:noWrap w:val="0"/>
            <w:vAlign w:val="center"/>
          </w:tcPr>
          <w:p w14:paraId="7E742EC3">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4"/>
                <w:szCs w:val="24"/>
              </w:rPr>
            </w:pPr>
            <w:r>
              <w:rPr>
                <w:rFonts w:hint="eastAsia" w:ascii="宋体" w:hAnsi="宋体" w:cs="宋体"/>
                <w:sz w:val="21"/>
                <w:szCs w:val="21"/>
                <w:lang w:val="en-US" w:eastAsia="zh-CN"/>
              </w:rPr>
              <w:t>一、二工区所用焦沫</w:t>
            </w:r>
            <w:r>
              <w:rPr>
                <w:rFonts w:hint="eastAsia" w:ascii="宋体" w:hAnsi="宋体" w:eastAsia="宋体" w:cs="宋体"/>
                <w:sz w:val="21"/>
                <w:szCs w:val="21"/>
              </w:rPr>
              <w:t>不能混入外来夹杂物（如兰炭，无烟煤），同一车内颜色粒度应一致</w:t>
            </w:r>
            <w:r>
              <w:rPr>
                <w:rFonts w:hint="eastAsia" w:ascii="宋体" w:hAnsi="宋体" w:eastAsia="宋体" w:cs="宋体"/>
                <w:sz w:val="21"/>
                <w:szCs w:val="21"/>
                <w:lang w:eastAsia="zh-CN"/>
              </w:rPr>
              <w:t>。</w:t>
            </w:r>
          </w:p>
        </w:tc>
        <w:tc>
          <w:tcPr>
            <w:tcW w:w="10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B10D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10000</w:t>
            </w:r>
          </w:p>
        </w:tc>
        <w:tc>
          <w:tcPr>
            <w:tcW w:w="12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95C6A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3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2400C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96" w:type="dxa"/>
            <w:vMerge w:val="continue"/>
            <w:tcBorders>
              <w:left w:val="single" w:color="auto" w:sz="6" w:space="0"/>
              <w:bottom w:val="single" w:color="auto" w:sz="6" w:space="0"/>
              <w:right w:val="single" w:color="auto" w:sz="6" w:space="0"/>
              <w:tl2br w:val="nil"/>
              <w:tr2bl w:val="nil"/>
            </w:tcBorders>
            <w:noWrap w:val="0"/>
            <w:vAlign w:val="center"/>
          </w:tcPr>
          <w:p w14:paraId="58B7F3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14:paraId="0F7D160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报价单填写说明：竞价方在报价栏填报单价以及合计金额（或报价单价合计金额）。填好的报价单由公司法定代表人或授权委托人签名并加盖公司公章。</w:t>
      </w:r>
      <w:bookmarkStart w:id="0" w:name="_GoBack"/>
      <w:bookmarkEnd w:id="0"/>
    </w:p>
    <w:p w14:paraId="038A9E37">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保证金的交付说明：</w:t>
      </w:r>
    </w:p>
    <w:p w14:paraId="6AFE2DF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4"/>
          <w:rFonts w:hint="eastAsia" w:ascii="宋体" w:hAnsi="宋体" w:eastAsia="宋体" w:cs="宋体"/>
          <w:sz w:val="24"/>
          <w:szCs w:val="24"/>
          <w:lang w:val="en-US" w:eastAsia="zh-CN" w:bidi="ar"/>
        </w:rPr>
        <w:t>出具委托函，委托竞购方将其存在竞购方保证金账户中的金额转为此次竞价保证金，</w:t>
      </w:r>
      <w:r>
        <w:rPr>
          <w:rStyle w:val="5"/>
          <w:rFonts w:hint="eastAsia" w:ascii="宋体" w:hAnsi="宋体" w:eastAsia="宋体" w:cs="宋体"/>
          <w:sz w:val="24"/>
          <w:szCs w:val="24"/>
          <w:lang w:val="en-US" w:eastAsia="zh-CN" w:bidi="ar"/>
        </w:rPr>
        <w:t>否则竞价报价单无效</w:t>
      </w:r>
      <w:r>
        <w:rPr>
          <w:rStyle w:val="6"/>
          <w:rFonts w:hint="eastAsia" w:ascii="宋体" w:hAnsi="宋体" w:eastAsia="宋体" w:cs="宋体"/>
          <w:sz w:val="24"/>
          <w:szCs w:val="24"/>
          <w:u w:val="single"/>
          <w:lang w:val="en-US" w:eastAsia="zh-CN" w:bidi="ar"/>
        </w:rPr>
        <w:t>。</w:t>
      </w:r>
    </w:p>
    <w:p w14:paraId="2F6C457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宋体" w:hAnsi="宋体" w:eastAsia="宋体" w:cs="宋体"/>
          <w:sz w:val="24"/>
          <w:szCs w:val="24"/>
          <w:lang w:val="en-US" w:eastAsia="zh-CN" w:bidi="ar"/>
        </w:rPr>
        <w:t>行足额缴纳保证金，</w:t>
      </w:r>
      <w:r>
        <w:rPr>
          <w:rStyle w:val="5"/>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lang w:val="en-US" w:eastAsia="zh-CN" w:bidi="ar"/>
        </w:rPr>
        <w:t>。</w:t>
      </w:r>
    </w:p>
    <w:p w14:paraId="3801A892">
      <w:pPr>
        <w:keepNext w:val="0"/>
        <w:keepLines w:val="0"/>
        <w:pageBreakBefore w:val="0"/>
        <w:widowControl w:val="0"/>
        <w:kinsoku/>
        <w:wordWrap/>
        <w:overflowPunct/>
        <w:topLinePunct w:val="0"/>
        <w:autoSpaceDE/>
        <w:autoSpaceDN/>
        <w:bidi w:val="0"/>
        <w:adjustRightInd/>
        <w:snapToGrid/>
        <w:spacing w:line="400" w:lineRule="exact"/>
        <w:ind w:firstLine="5783" w:firstLineChars="1800"/>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委    托   书</w:t>
      </w:r>
    </w:p>
    <w:p w14:paraId="714BF6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陕西锌业有限公司：</w:t>
      </w:r>
    </w:p>
    <w:p w14:paraId="4B4EEB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兹有我公司参与贵公司于</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日发布的</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竞价项目，委托贵公司将（□尚欠我公司货款□前期在贵公司保证金账户中存有保证金）¥</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元大写</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转为此竞价保证金。</w:t>
      </w:r>
    </w:p>
    <w:p w14:paraId="4E07C0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特此委托</w:t>
      </w:r>
    </w:p>
    <w:p w14:paraId="4E8A92D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4A98CF03">
      <w:pPr>
        <w:keepNext w:val="0"/>
        <w:keepLines w:val="0"/>
        <w:pageBreakBefore w:val="0"/>
        <w:widowControl w:val="0"/>
        <w:kinsoku/>
        <w:wordWrap/>
        <w:overflowPunct/>
        <w:topLinePunct w:val="0"/>
        <w:autoSpaceDE/>
        <w:autoSpaceDN/>
        <w:bidi w:val="0"/>
        <w:adjustRightInd/>
        <w:snapToGrid/>
        <w:spacing w:line="300" w:lineRule="exact"/>
        <w:ind w:firstLine="9360" w:firstLineChars="39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参与竞价方（盖章）：</w:t>
      </w:r>
    </w:p>
    <w:p w14:paraId="6009FB8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法人（委托人）签字：</w:t>
      </w:r>
    </w:p>
    <w:p w14:paraId="0786EB8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Theme="minorEastAsia"/>
          <w:lang w:eastAsia="zh-CN"/>
        </w:rPr>
      </w:pPr>
      <w:r>
        <w:rPr>
          <w:rFonts w:hint="eastAsia" w:ascii="宋体" w:hAnsi="宋体" w:eastAsia="宋体" w:cs="宋体"/>
          <w:i w:val="0"/>
          <w:iCs w:val="0"/>
          <w:color w:val="000000"/>
          <w:kern w:val="0"/>
          <w:sz w:val="24"/>
          <w:szCs w:val="24"/>
          <w:u w:val="none"/>
          <w:lang w:val="en-US" w:eastAsia="zh-CN" w:bidi="ar"/>
        </w:rPr>
        <w:t xml:space="preserve">                                                                             </w:t>
      </w:r>
      <w:r>
        <w:rPr>
          <w:rStyle w:val="8"/>
          <w:rFonts w:hint="eastAsia" w:ascii="宋体" w:hAnsi="宋体" w:eastAsia="宋体" w:cs="宋体"/>
          <w:sz w:val="24"/>
          <w:szCs w:val="24"/>
          <w:lang w:val="en-US" w:eastAsia="zh-CN" w:bidi="ar"/>
        </w:rPr>
        <w:t xml:space="preserve"> 参与竞价时间：    年    月    日</w:t>
      </w:r>
    </w:p>
    <w:sectPr>
      <w:pgSz w:w="16838" w:h="11906" w:orient="landscape"/>
      <w:pgMar w:top="1349" w:right="1440" w:bottom="134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0EA71386"/>
    <w:rsid w:val="0EA71386"/>
    <w:rsid w:val="215A4907"/>
    <w:rsid w:val="49B63933"/>
    <w:rsid w:val="6E3D4001"/>
    <w:rsid w:val="7260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autoRedefine/>
    <w:qFormat/>
    <w:uiPriority w:val="0"/>
    <w:rPr>
      <w:rFonts w:hint="eastAsia" w:ascii="宋体" w:hAnsi="宋体" w:eastAsia="宋体" w:cs="宋体"/>
      <w:b/>
      <w:bCs/>
      <w:color w:val="000000"/>
      <w:sz w:val="28"/>
      <w:szCs w:val="28"/>
      <w:u w:val="single"/>
    </w:rPr>
  </w:style>
  <w:style w:type="character" w:customStyle="1" w:styleId="6">
    <w:name w:val="font61"/>
    <w:basedOn w:val="3"/>
    <w:autoRedefine/>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608</Words>
  <Characters>677</Characters>
  <Lines>0</Lines>
  <Paragraphs>0</Paragraphs>
  <TotalTime>9</TotalTime>
  <ScaleCrop>false</ScaleCrop>
  <LinksUpToDate>false</LinksUpToDate>
  <CharactersWithSpaces>935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2024-08-19T07:40:00Z</dcterms:created>
  <dc:creator>瞬间无语</dc:creator>
  <cp:lastModifiedBy>瞬间无语</cp:lastModifiedBy>
  <cp:lastPrinted>2024-12-24T01:53:47Z</cp:lastPrinted>
  <dcterms:modified xsi:type="dcterms:W3CDTF">2024-12-24T01:54:13Z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FF72B290756249309E24BDC3E706CFE0_11</vt:lpwstr>
  </property>
</Properties>
</file>